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2A2AD170" w:rsidR="00770674" w:rsidRPr="00EC0ACE" w:rsidRDefault="00770674" w:rsidP="00E05D42">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480730">
        <w:rPr>
          <w:rFonts w:eastAsia="Times New Roman" w:cs="Times New Roman"/>
          <w:bCs/>
          <w:kern w:val="0"/>
          <w:sz w:val="22"/>
          <w:szCs w:val="22"/>
          <w:lang w:eastAsia="ar-SA" w:bidi="ar-SA"/>
        </w:rPr>
        <w:t>3</w:t>
      </w:r>
      <w:r w:rsidR="0037559C">
        <w:rPr>
          <w:rFonts w:eastAsia="Times New Roman" w:cs="Times New Roman"/>
          <w:bCs/>
          <w:kern w:val="0"/>
          <w:sz w:val="22"/>
          <w:szCs w:val="22"/>
          <w:lang w:eastAsia="ar-SA" w:bidi="ar-SA"/>
        </w:rPr>
        <w:t xml:space="preserve"> do Regulaminu</w:t>
      </w:r>
      <w:r w:rsidRPr="00EC0ACE">
        <w:rPr>
          <w:rFonts w:eastAsia="Times New Roman" w:cs="Times New Roman"/>
          <w:bCs/>
          <w:kern w:val="0"/>
          <w:sz w:val="22"/>
          <w:szCs w:val="22"/>
          <w:lang w:eastAsia="ar-SA" w:bidi="ar-SA"/>
        </w:rPr>
        <w:t xml:space="preserve">                                                                                                                        </w:t>
      </w:r>
    </w:p>
    <w:p w14:paraId="0987B0D7" w14:textId="16E8D04C" w:rsidR="00E05D42" w:rsidRDefault="00E05D42" w:rsidP="00E05D42">
      <w:pPr>
        <w:spacing w:line="240" w:lineRule="auto"/>
        <w:rPr>
          <w:rFonts w:eastAsia="Times New Roman" w:cs="Times New Roman"/>
          <w:kern w:val="0"/>
          <w:sz w:val="22"/>
          <w:szCs w:val="22"/>
          <w:lang w:eastAsia="pl-PL" w:bidi="ar-SA"/>
        </w:rPr>
      </w:pPr>
      <w:r w:rsidRPr="00E05D42">
        <w:rPr>
          <w:rFonts w:eastAsia="Times New Roman" w:cs="Times New Roman"/>
          <w:kern w:val="0"/>
          <w:sz w:val="22"/>
          <w:szCs w:val="22"/>
          <w:lang w:eastAsia="pl-PL" w:bidi="ar-SA"/>
        </w:rPr>
        <w:t xml:space="preserve">Postępowanie nr 03/N/24 na najem pomieszczenia znajdującego się w pawilonie C przy ul. Głównej 11 </w:t>
      </w:r>
      <w:r>
        <w:rPr>
          <w:rFonts w:eastAsia="Times New Roman" w:cs="Times New Roman"/>
          <w:kern w:val="0"/>
          <w:sz w:val="22"/>
          <w:szCs w:val="22"/>
          <w:lang w:eastAsia="pl-PL" w:bidi="ar-SA"/>
        </w:rPr>
        <w:t xml:space="preserve">                   </w:t>
      </w:r>
      <w:r w:rsidRPr="00E05D42">
        <w:rPr>
          <w:rFonts w:eastAsia="Times New Roman" w:cs="Times New Roman"/>
          <w:kern w:val="0"/>
          <w:sz w:val="22"/>
          <w:szCs w:val="22"/>
          <w:lang w:eastAsia="pl-PL" w:bidi="ar-SA"/>
        </w:rPr>
        <w:t>w Rudzie Śląskiej</w:t>
      </w: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3DB46F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Pr="00BB09FE">
        <w:rPr>
          <w:sz w:val="22"/>
          <w:szCs w:val="22"/>
        </w:rPr>
        <w:t xml:space="preserve"> </w:t>
      </w:r>
      <w:r w:rsidR="00812FC5">
        <w:rPr>
          <w:sz w:val="22"/>
          <w:szCs w:val="22"/>
        </w:rPr>
        <w:t>0</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2FD26E32"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Pr>
          <w:sz w:val="22"/>
          <w:szCs w:val="22"/>
        </w:rPr>
        <w:t>2</w:t>
      </w:r>
      <w:r w:rsidR="00BB09FE" w:rsidRPr="00BB09FE">
        <w:rPr>
          <w:sz w:val="22"/>
          <w:szCs w:val="22"/>
        </w:rPr>
        <w:t xml:space="preserve"> </w:t>
      </w:r>
      <w:r w:rsidR="00812FC5">
        <w:rPr>
          <w:sz w:val="22"/>
          <w:szCs w:val="22"/>
        </w:rPr>
        <w:t>0</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Pr="00BB09FE" w:rsidRDefault="0037559C"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C4C3D"/>
    <w:rsid w:val="002102B2"/>
    <w:rsid w:val="00214A6F"/>
    <w:rsid w:val="002534C7"/>
    <w:rsid w:val="00355372"/>
    <w:rsid w:val="0037559C"/>
    <w:rsid w:val="00456FF0"/>
    <w:rsid w:val="00473B98"/>
    <w:rsid w:val="00480730"/>
    <w:rsid w:val="00630D08"/>
    <w:rsid w:val="00770674"/>
    <w:rsid w:val="00783E3D"/>
    <w:rsid w:val="00812FC5"/>
    <w:rsid w:val="0083450D"/>
    <w:rsid w:val="00A011C0"/>
    <w:rsid w:val="00A83A02"/>
    <w:rsid w:val="00B50FFA"/>
    <w:rsid w:val="00BB09FE"/>
    <w:rsid w:val="00C80AF9"/>
    <w:rsid w:val="00D2529A"/>
    <w:rsid w:val="00DF7F99"/>
    <w:rsid w:val="00E05D42"/>
    <w:rsid w:val="00E139BA"/>
    <w:rsid w:val="00E95E7C"/>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1194</Words>
  <Characters>7165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Justyna Leśniak</cp:lastModifiedBy>
  <cp:revision>11</cp:revision>
  <cp:lastPrinted>2024-10-29T10:18:00Z</cp:lastPrinted>
  <dcterms:created xsi:type="dcterms:W3CDTF">2024-09-25T10:29:00Z</dcterms:created>
  <dcterms:modified xsi:type="dcterms:W3CDTF">2024-11-05T08:02:00Z</dcterms:modified>
</cp:coreProperties>
</file>